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134"/>
        <w:gridCol w:w="737"/>
        <w:gridCol w:w="1519"/>
        <w:gridCol w:w="1230"/>
        <w:gridCol w:w="289"/>
        <w:gridCol w:w="987"/>
        <w:gridCol w:w="680"/>
        <w:gridCol w:w="680"/>
        <w:gridCol w:w="397"/>
        <w:gridCol w:w="284"/>
      </w:tblGrid>
      <w:tr>
        <w:trPr>
          <w:trHeight w:hRule="exact" w:val="870.24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621.0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16.9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20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(пункту 5 розділу II)</w:t>
            </w:r>
          </w:p>
        </w:tc>
      </w:tr>
      <w:tr>
        <w:trPr>
          <w:trHeight w:hRule="exact" w:val="277.83"/>
        </w:trPr>
        <w:tc>
          <w:tcPr>
            <w:tcW w:w="10773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425.753"/>
        </w:trPr>
        <w:tc>
          <w:tcPr>
            <w:tcW w:w="10773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Довідка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дебіторську та кредиторську заборгованість за операціями, які не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відображаються у формі № 7д, № 7м «Звіт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бюджетними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коштами»</w:t>
            </w:r>
          </w:p>
        </w:tc>
      </w:tr>
      <w:tr>
        <w:trPr>
          <w:trHeight w:hRule="exact" w:val="277.8299"/>
        </w:trPr>
        <w:tc>
          <w:tcPr>
            <w:tcW w:w="10773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2023 року</w:t>
            </w:r>
          </w:p>
        </w:tc>
      </w:tr>
      <w:tr>
        <w:trPr>
          <w:trHeight w:hRule="exact" w:val="277.8301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621.0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471.869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621.05" w:type="dxa"/>
            <w:gridSpan w:val="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Роздільнянська районна державна адміністрація Одеської області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04056859</w:t>
            </w:r>
          </w:p>
        </w:tc>
      </w:tr>
      <w:tr>
        <w:trPr>
          <w:trHeight w:hRule="exact" w:val="261.513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621.05" w:type="dxa"/>
            <w:gridSpan w:val="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Роздільна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UA51140130010040641</w:t>
            </w:r>
          </w:p>
        </w:tc>
      </w:tr>
      <w:tr>
        <w:trPr>
          <w:trHeight w:hRule="exact" w:val="449.820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4621.05" w:type="dxa"/>
            <w:gridSpan w:val="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410</w:t>
            </w:r>
          </w:p>
        </w:tc>
      </w:tr>
      <w:tr>
        <w:trPr>
          <w:trHeight w:hRule="exact" w:val="449.8201"/>
        </w:trPr>
        <w:tc>
          <w:tcPr>
            <w:tcW w:w="8731.8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785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Одеська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обласна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державна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адміністрація</w:t>
            </w:r>
            <w:r>
              <w:rPr/>
              <w:t xml:space="preserve"> </w:t>
            </w:r>
          </w:p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8731.8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7456.0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396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0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396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0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7745.1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0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6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Назва показників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Код рядка</w:t>
            </w:r>
          </w:p>
        </w:tc>
        <w:tc>
          <w:tcPr>
            <w:tcW w:w="303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 початок звітного року</w:t>
            </w:r>
          </w:p>
        </w:tc>
        <w:tc>
          <w:tcPr>
            <w:tcW w:w="3027.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 кінець звітного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періоду (року)</w:t>
            </w:r>
          </w:p>
        </w:tc>
      </w:tr>
      <w:tr>
        <w:trPr>
          <w:trHeight w:hRule="exact" w:val="277.8295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дебет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кредит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дебет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кредит</w:t>
            </w:r>
          </w:p>
        </w:tc>
      </w:tr>
      <w:tr>
        <w:trPr>
          <w:trHeight w:hRule="exact" w:val="277.8304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Допомога і компенсації громадянам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5142,00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5142,00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допомога і компенсації громадянам, які постраждали внаслідок Чорнобильської катастрофи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011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допомога по тимчасовій непрацездатності, вагітності і пологах, на поховання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012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5142,00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5142,00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Розрахунки за операціями з внутрівідомчої передачі запасів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Розрахунки за депозитними операціями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грошовими документами, матеріальними цінностями та іншими депозитними операціями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031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у залишках коштів на рахунках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032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Інша заборгованість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у тому числі[1]: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6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041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042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043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044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045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046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047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048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049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604.6102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Кредиторська заборгованість за бюджетними зобов’язаннями, не взятими на облік органами Казначейства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Розрахунки за іншими операціями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у тому числі[1]: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061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7"/>
        </w:trPr>
        <w:tc>
          <w:tcPr>
            <w:tcW w:w="2835" w:type="dxa"/>
          </w:tcPr>
          <w:p/>
        </w:tc>
        <w:tc>
          <w:tcPr>
            <w:tcW w:w="1134" w:type="dxa"/>
          </w:tcPr>
          <w:p/>
        </w:tc>
        <w:tc>
          <w:tcPr>
            <w:tcW w:w="737" w:type="dxa"/>
          </w:tcPr>
          <w:p/>
        </w:tc>
        <w:tc>
          <w:tcPr>
            <w:tcW w:w="1519" w:type="dxa"/>
          </w:tcPr>
          <w:p/>
        </w:tc>
        <w:tc>
          <w:tcPr>
            <w:tcW w:w="1230" w:type="dxa"/>
          </w:tcPr>
          <w:p/>
        </w:tc>
        <w:tc>
          <w:tcPr>
            <w:tcW w:w="289" w:type="dxa"/>
          </w:tcPr>
          <w:p/>
        </w:tc>
        <w:tc>
          <w:tcPr>
            <w:tcW w:w="987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567"/>
        <w:gridCol w:w="170"/>
        <w:gridCol w:w="822"/>
        <w:gridCol w:w="697"/>
        <w:gridCol w:w="652"/>
        <w:gridCol w:w="867"/>
        <w:gridCol w:w="482"/>
        <w:gridCol w:w="1038"/>
        <w:gridCol w:w="1225"/>
        <w:gridCol w:w="284"/>
      </w:tblGrid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062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063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064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065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066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067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068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069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5142,00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5142,00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01"/>
        </w:trPr>
        <w:tc>
          <w:tcPr>
            <w:tcW w:w="8227.05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45.95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45.95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528.2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                                               Керівник                               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95.35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20"/>
                <w:szCs w:val="20"/>
              </w:rPr>
              <w:t> Сергій ПРИХОДЬКО</w:t>
            </w:r>
          </w:p>
        </w:tc>
      </w:tr>
      <w:tr>
        <w:trPr>
          <w:trHeight w:hRule="exact" w:val="277.8299"/>
        </w:trPr>
        <w:tc>
          <w:tcPr>
            <w:tcW w:w="4536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45.95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528.2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                                               Головний бухгалтер              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95.35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20"/>
                <w:szCs w:val="20"/>
              </w:rPr>
              <w:t> Ірина СТАШЕВСЬКА</w:t>
            </w:r>
          </w:p>
        </w:tc>
      </w:tr>
      <w:tr>
        <w:trPr>
          <w:trHeight w:hRule="exact" w:val="277.8299"/>
        </w:trPr>
        <w:tc>
          <w:tcPr>
            <w:tcW w:w="4536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45.95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528.2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" 06 " січня 2023р.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45.95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3969" w:type="dxa"/>
          </w:tcPr>
          <w:p/>
        </w:tc>
        <w:tc>
          <w:tcPr>
            <w:tcW w:w="567" w:type="dxa"/>
          </w:tcPr>
          <w:p/>
        </w:tc>
        <w:tc>
          <w:tcPr>
            <w:tcW w:w="170" w:type="dxa"/>
          </w:tcPr>
          <w:p/>
        </w:tc>
        <w:tc>
          <w:tcPr>
            <w:tcW w:w="822" w:type="dxa"/>
          </w:tcPr>
          <w:p/>
        </w:tc>
        <w:tc>
          <w:tcPr>
            <w:tcW w:w="697" w:type="dxa"/>
          </w:tcPr>
          <w:p/>
        </w:tc>
        <w:tc>
          <w:tcPr>
            <w:tcW w:w="652" w:type="dxa"/>
          </w:tcPr>
          <w:p/>
        </w:tc>
        <w:tc>
          <w:tcPr>
            <w:tcW w:w="867" w:type="dxa"/>
          </w:tcPr>
          <w:p/>
        </w:tc>
        <w:tc>
          <w:tcPr>
            <w:tcW w:w="482" w:type="dxa"/>
          </w:tcPr>
          <w:p/>
        </w:tc>
        <w:tc>
          <w:tcPr>
            <w:tcW w:w="1038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Form_f_d20</dc:title>
  <dc:creator>FastReport.NET</dc:creator>
</cp:coreProperties>
</file>