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992"/>
        <w:gridCol w:w="737"/>
        <w:gridCol w:w="255"/>
        <w:gridCol w:w="891"/>
        <w:gridCol w:w="203"/>
        <w:gridCol w:w="830"/>
        <w:gridCol w:w="520"/>
        <w:gridCol w:w="675"/>
        <w:gridCol w:w="675"/>
        <w:gridCol w:w="298"/>
        <w:gridCol w:w="161"/>
        <w:gridCol w:w="644"/>
        <w:gridCol w:w="246"/>
        <w:gridCol w:w="459"/>
        <w:gridCol w:w="352"/>
        <w:gridCol w:w="329"/>
        <w:gridCol w:w="210"/>
        <w:gridCol w:w="471"/>
        <w:gridCol w:w="289"/>
        <w:gridCol w:w="391"/>
      </w:tblGrid>
      <w:tr>
        <w:trPr>
          <w:trHeight w:hRule="exact" w:val="277.83"/>
        </w:trPr>
        <w:tc>
          <w:tcPr>
            <w:tcW w:w="2551.5" w:type="dxa"/>
            <w:gridSpan w:val="4"/>
            <w:tcBorders>
</w:tcBorders>
            <w:shd w:val="clear" w:color="#000000" w:fill="#FFFFFF"/>
            <w:vAlign w:val="top"/>
            <w:tcMar>
              <w:top w:w="17" w:type="dxa"/>
              <w:left w:w="38" w:type="dxa"/>
              <w:bottom w:w="17" w:type="dxa"/>
              <w:right w:w="38" w:type="dxa"/>
            </w:tcMar>
          </w:tcPr>
          <w:p/>
        </w:tc>
        <w:tc>
          <w:tcPr>
            <w:tcW w:w="4252.5" w:type="dxa"/>
            <w:gridSpan w:val="8"/>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680.4" w:type="dxa"/>
            <w:gridSpan w:val="2"/>
            <w:tcBorders>
</w:tcBorders>
            <w:shd w:val="clear" w:color="#000000" w:fill="#FFFFFF"/>
            <w:vAlign w:val="top"/>
            <w:tcMar>
              <w:top w:w="17" w:type="dxa"/>
              <w:left w:w="38" w:type="dxa"/>
              <w:bottom w:w="17" w:type="dxa"/>
              <w:right w:w="38" w:type="dxa"/>
            </w:tcMar>
          </w:tcPr>
          <w:p/>
        </w:tc>
        <w:tc>
          <w:tcPr>
            <w:tcW w:w="680.4" w:type="dxa"/>
            <w:gridSpan w:val="2"/>
            <w:tcBorders>
</w:tcBorders>
            <w:shd w:val="clear" w:color="#000000" w:fill="#FFFFFF"/>
            <w:vAlign w:val="top"/>
            <w:tcMar>
              <w:top w:w="17" w:type="dxa"/>
              <w:left w:w="38" w:type="dxa"/>
              <w:bottom w:w="17" w:type="dxa"/>
              <w:right w:w="38" w:type="dxa"/>
            </w:tcMar>
          </w:tcPr>
          <w:p/>
        </w:tc>
        <w:tc>
          <w:tcPr>
            <w:tcW w:w="680.4" w:type="dxa"/>
            <w:gridSpan w:val="2"/>
            <w:tcBorders>
</w:tcBorders>
            <w:shd w:val="clear" w:color="#000000" w:fill="#FFFFFF"/>
            <w:vAlign w:val="top"/>
            <w:tcMar>
              <w:top w:w="17" w:type="dxa"/>
              <w:left w:w="38" w:type="dxa"/>
              <w:bottom w:w="17" w:type="dxa"/>
              <w:right w:w="38" w:type="dxa"/>
            </w:tcMar>
          </w:tcPr>
          <w:p/>
        </w:tc>
      </w:tr>
      <w:tr>
        <w:trPr>
          <w:trHeight w:hRule="exact" w:val="277.83"/>
        </w:trPr>
        <w:tc>
          <w:tcPr>
            <w:tcW w:w="10194.6" w:type="dxa"/>
            <w:gridSpan w:val="21"/>
            <w:tcBorders>
</w:tcBorders>
            <w:shd w:val="clear" w:color="#000000" w:fill="#FFFFFF"/>
            <w:vAlign w:val="center"/>
            <w:tcMar>
              <w:top w:w="17" w:type="dxa"/>
              <w:left w:w="38" w:type="dxa"/>
              <w:bottom w:w="17" w:type="dxa"/>
              <w:right w:w="38" w:type="dxa"/>
            </w:tcMar>
          </w:tcPr>
          <w:p/>
        </w:tc>
      </w:tr>
      <w:tr>
        <w:trPr>
          <w:trHeight w:hRule="exact" w:val="478.9261"/>
        </w:trPr>
        <w:tc>
          <w:tcPr>
            <w:tcW w:w="10194.6" w:type="dxa"/>
            <w:gridSpan w:val="21"/>
            <w:tcBorders>
</w:tcBorders>
            <w:shd w:val="clear" w:color="#000000" w:fill="#FFFFFF"/>
            <w:vAlign w:val="center"/>
            <w:tcMar>
              <w:top w:w="17" w:type="dxa"/>
              <w:left w:w="38" w:type="dxa"/>
              <w:bottom w:w="17" w:type="dxa"/>
              <w:right w:w="38" w:type="dxa"/>
            </w:tcMar>
          </w:tcPr>
          <w:p>
            <w:pPr>
              <w:jc w:val="center"/>
              <w:spacing w:after="0" w:line="420" w:lineRule="auto"/>
              <w:rPr>
                <w:sz w:val="36"/>
                <w:szCs w:val="36"/>
              </w:rPr>
            </w:pPr>
            <w:r>
              <w:rPr>
                <w:rFonts w:ascii="Times New Roman" w:hAnsi="Times New Roman" w:cs="Times New Roman"/>
                <w:b/>
                <w:color w:val="#000000"/>
                <w:sz w:val="36"/>
                <w:szCs w:val="36"/>
              </w:rPr>
              <w:t> ПОЯСНЮВАЛЬНА ЗАПИСКА</w:t>
            </w:r>
          </w:p>
        </w:tc>
      </w:tr>
      <w:tr>
        <w:trPr>
          <w:trHeight w:hRule="exact" w:val="277.8299"/>
        </w:trPr>
        <w:tc>
          <w:tcPr>
            <w:tcW w:w="10194.6" w:type="dxa"/>
            <w:gridSpan w:val="21"/>
            <w:tcBorders>
</w:tcBorders>
            <w:shd w:val="clear" w:color="#000000" w:fill="#FFFFFF"/>
            <w:vAlign w:val="center"/>
            <w:tcMar>
              <w:top w:w="17" w:type="dxa"/>
              <w:left w:w="38" w:type="dxa"/>
              <w:bottom w:w="17" w:type="dxa"/>
              <w:right w:w="38" w:type="dxa"/>
            </w:tcMar>
          </w:tcPr>
          <w:p>
            <w:pPr>
              <w:jc w:val="center"/>
              <w:spacing w:after="0" w:line="240" w:lineRule="auto"/>
              <w:rPr>
                <w:sz w:val="20"/>
                <w:szCs w:val="20"/>
              </w:rPr>
            </w:pPr>
            <w:r>
              <w:rPr>
                <w:rFonts w:ascii="Times New Roman" w:hAnsi="Times New Roman" w:cs="Times New Roman"/>
                <w:b/>
                <w:i/>
                <w:color w:val="#000000"/>
                <w:sz w:val="20"/>
                <w:szCs w:val="20"/>
              </w:rPr>
              <w:t> за 2022 рік</w:t>
            </w:r>
          </w:p>
        </w:tc>
      </w:tr>
      <w:tr>
        <w:trPr>
          <w:trHeight w:hRule="exact" w:val="277.83"/>
        </w:trPr>
        <w:tc>
          <w:tcPr>
            <w:tcW w:w="2551.5" w:type="dxa"/>
            <w:gridSpan w:val="4"/>
            <w:tcBorders>
</w:tcBorders>
            <w:shd w:val="clear" w:color="#000000" w:fill="#FFFFFF"/>
            <w:vAlign w:val="top"/>
            <w:tcMar>
              <w:top w:w="17" w:type="dxa"/>
              <w:left w:w="38" w:type="dxa"/>
              <w:bottom w:w="17" w:type="dxa"/>
              <w:right w:w="38" w:type="dxa"/>
            </w:tcMar>
          </w:tcPr>
          <w:p/>
        </w:tc>
        <w:tc>
          <w:tcPr>
            <w:tcW w:w="4252.5" w:type="dxa"/>
            <w:gridSpan w:val="8"/>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2041.2"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210" w:lineRule="auto"/>
              <w:rPr>
                <w:sz w:val="18"/>
                <w:szCs w:val="18"/>
              </w:rPr>
            </w:pPr>
            <w:r>
              <w:rPr>
                <w:rFonts w:ascii="Times New Roman" w:hAnsi="Times New Roman" w:cs="Times New Roman"/>
                <w:color w:val="#000000"/>
                <w:sz w:val="18"/>
                <w:szCs w:val="18"/>
              </w:rPr>
              <w:t> КОДИ</w:t>
            </w:r>
          </w:p>
        </w:tc>
      </w:tr>
      <w:tr>
        <w:trPr>
          <w:trHeight w:hRule="exact" w:val="471.87"/>
        </w:trPr>
        <w:tc>
          <w:tcPr>
            <w:tcW w:w="2551.5" w:type="dxa"/>
            <w:gridSpan w:val="4"/>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Установа</w:t>
            </w:r>
          </w:p>
        </w:tc>
        <w:tc>
          <w:tcPr>
            <w:tcW w:w="4252.5" w:type="dxa"/>
            <w:gridSpan w:val="8"/>
            <w:tcBorders>
              <w:bottom w:val="single" w:sz="8" w:space="0" w:color="#808080"/>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b/>
                <w:i/>
                <w:color w:val="#000000"/>
                <w:sz w:val="18"/>
                <w:szCs w:val="18"/>
              </w:rPr>
              <w:t> Роздільнянська районна державна адміністрація Одеської області</w:t>
            </w:r>
          </w:p>
        </w:tc>
        <w:tc>
          <w:tcPr>
            <w:tcW w:w="1349.4" w:type="dxa"/>
            <w:gridSpan w:val="3"/>
            <w:tcBorders>
</w:tcBorders>
            <w:shd w:val="clear" w:color="#000000" w:fill="#FFFFFF"/>
            <w:vAlign w:val="center"/>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за ЄДРПОУ</w:t>
            </w:r>
          </w:p>
        </w:tc>
        <w:tc>
          <w:tcPr>
            <w:tcW w:w="2041.2"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210" w:lineRule="auto"/>
              <w:rPr>
                <w:sz w:val="18"/>
                <w:szCs w:val="18"/>
              </w:rPr>
            </w:pPr>
            <w:r>
              <w:rPr>
                <w:rFonts w:ascii="Times New Roman" w:hAnsi="Times New Roman" w:cs="Times New Roman"/>
                <w:color w:val="#000000"/>
                <w:sz w:val="18"/>
                <w:szCs w:val="18"/>
              </w:rPr>
              <w:t> 04056859</w:t>
            </w:r>
          </w:p>
        </w:tc>
      </w:tr>
      <w:tr>
        <w:trPr>
          <w:trHeight w:hRule="exact" w:val="261.5131"/>
        </w:trPr>
        <w:tc>
          <w:tcPr>
            <w:tcW w:w="2551.5" w:type="dxa"/>
            <w:gridSpan w:val="4"/>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Територія</w:t>
            </w:r>
          </w:p>
        </w:tc>
        <w:tc>
          <w:tcPr>
            <w:tcW w:w="4252.5" w:type="dxa"/>
            <w:gridSpan w:val="8"/>
            <w:tcBorders>
              <w:bottom w:val="single" w:sz="8" w:space="0" w:color="#808080"/>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b/>
                <w:i/>
                <w:color w:val="#000000"/>
                <w:sz w:val="18"/>
                <w:szCs w:val="18"/>
              </w:rPr>
              <w:t> Роздільна</w:t>
            </w:r>
          </w:p>
        </w:tc>
        <w:tc>
          <w:tcPr>
            <w:tcW w:w="1349.4" w:type="dxa"/>
            <w:gridSpan w:val="3"/>
            <w:tcBorders>
</w:tcBorders>
            <w:shd w:val="clear" w:color="#000000" w:fill="#FFFFFF"/>
            <w:vAlign w:val="center"/>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за КАТОТТГ</w:t>
            </w:r>
          </w:p>
        </w:tc>
        <w:tc>
          <w:tcPr>
            <w:tcW w:w="2041.2"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210" w:lineRule="auto"/>
              <w:rPr>
                <w:sz w:val="18"/>
                <w:szCs w:val="18"/>
              </w:rPr>
            </w:pPr>
            <w:r>
              <w:rPr>
                <w:rFonts w:ascii="Times New Roman" w:hAnsi="Times New Roman" w:cs="Times New Roman"/>
                <w:color w:val="#000000"/>
                <w:sz w:val="18"/>
                <w:szCs w:val="18"/>
              </w:rPr>
              <w:t> UA51140130010040641</w:t>
            </w:r>
          </w:p>
        </w:tc>
      </w:tr>
      <w:tr>
        <w:trPr>
          <w:trHeight w:hRule="exact" w:val="449.8201"/>
        </w:trPr>
        <w:tc>
          <w:tcPr>
            <w:tcW w:w="2551.5" w:type="dxa"/>
            <w:gridSpan w:val="4"/>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Організаційно-правова</w:t>
            </w:r>
            <w:r>
              <w:rPr/>
              <w:t xml:space="preserve"> </w:t>
            </w:r>
            <w:r>
              <w:rPr>
                <w:rFonts w:ascii="Times New Roman" w:hAnsi="Times New Roman" w:cs="Times New Roman"/>
                <w:color w:val="#000000"/>
                <w:sz w:val="18"/>
                <w:szCs w:val="18"/>
              </w:rPr>
              <w:t>форма</w:t>
            </w:r>
            <w:r>
              <w:rPr/>
              <w:t xml:space="preserve"> </w:t>
            </w:r>
            <w:r>
              <w:rPr>
                <w:rFonts w:ascii="Times New Roman" w:hAnsi="Times New Roman" w:cs="Times New Roman"/>
                <w:color w:val="#000000"/>
                <w:sz w:val="18"/>
                <w:szCs w:val="18"/>
              </w:rPr>
              <w:t>господарювання</w:t>
            </w:r>
            <w:r>
              <w:rPr/>
              <w:t xml:space="preserve"> </w:t>
            </w:r>
          </w:p>
        </w:tc>
        <w:tc>
          <w:tcPr>
            <w:tcW w:w="4252.5" w:type="dxa"/>
            <w:gridSpan w:val="8"/>
            <w:tcBorders>
              <w:bottom w:val="single" w:sz="8" w:space="0" w:color="#808080"/>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b/>
                <w:i/>
                <w:color w:val="#000000"/>
                <w:sz w:val="18"/>
                <w:szCs w:val="18"/>
              </w:rPr>
              <w:t> Орган державної влади</w:t>
            </w:r>
          </w:p>
        </w:tc>
        <w:tc>
          <w:tcPr>
            <w:tcW w:w="1349.4" w:type="dxa"/>
            <w:gridSpan w:val="3"/>
            <w:tcBorders>
</w:tcBorders>
            <w:shd w:val="clear" w:color="#000000" w:fill="#FFFFFF"/>
            <w:vAlign w:val="center"/>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за КОПФГ</w:t>
            </w:r>
          </w:p>
        </w:tc>
        <w:tc>
          <w:tcPr>
            <w:tcW w:w="2041.2"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210" w:lineRule="auto"/>
              <w:rPr>
                <w:sz w:val="18"/>
                <w:szCs w:val="18"/>
              </w:rPr>
            </w:pPr>
            <w:r>
              <w:rPr>
                <w:rFonts w:ascii="Times New Roman" w:hAnsi="Times New Roman" w:cs="Times New Roman"/>
                <w:color w:val="#000000"/>
                <w:sz w:val="18"/>
                <w:szCs w:val="18"/>
              </w:rPr>
              <w:t> 410</w:t>
            </w:r>
          </w:p>
        </w:tc>
      </w:tr>
      <w:tr>
        <w:trPr>
          <w:trHeight w:hRule="exact" w:val="449.8199"/>
        </w:trPr>
        <w:tc>
          <w:tcPr>
            <w:tcW w:w="8153.4" w:type="dxa"/>
            <w:gridSpan w:val="15"/>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Код</w:t>
            </w:r>
            <w:r>
              <w:rPr/>
              <w:t xml:space="preserve"> </w:t>
            </w:r>
            <w:r>
              <w:rPr>
                <w:rFonts w:ascii="Times New Roman" w:hAnsi="Times New Roman" w:cs="Times New Roman"/>
                <w:color w:val="#000000"/>
                <w:sz w:val="18"/>
                <w:szCs w:val="18"/>
              </w:rPr>
              <w:t>та</w:t>
            </w:r>
            <w:r>
              <w:rPr/>
              <w:t xml:space="preserve"> </w:t>
            </w:r>
            <w:r>
              <w:rPr>
                <w:rFonts w:ascii="Times New Roman" w:hAnsi="Times New Roman" w:cs="Times New Roman"/>
                <w:color w:val="#000000"/>
                <w:sz w:val="18"/>
                <w:szCs w:val="18"/>
              </w:rPr>
              <w:t>назва</w:t>
            </w:r>
            <w:r>
              <w:rPr/>
              <w:t xml:space="preserve"> </w:t>
            </w:r>
            <w:r>
              <w:rPr>
                <w:rFonts w:ascii="Times New Roman" w:hAnsi="Times New Roman" w:cs="Times New Roman"/>
                <w:color w:val="#000000"/>
                <w:sz w:val="18"/>
                <w:szCs w:val="18"/>
              </w:rPr>
              <w:t>типової</w:t>
            </w:r>
            <w:r>
              <w:rPr/>
              <w:t xml:space="preserve"> </w:t>
            </w:r>
            <w:r>
              <w:rPr>
                <w:rFonts w:ascii="Times New Roman" w:hAnsi="Times New Roman" w:cs="Times New Roman"/>
                <w:color w:val="#000000"/>
                <w:sz w:val="18"/>
                <w:szCs w:val="18"/>
              </w:rPr>
              <w:t>відомчої</w:t>
            </w:r>
            <w:r>
              <w:rPr/>
              <w:t xml:space="preserve"> </w:t>
            </w:r>
            <w:r>
              <w:rPr>
                <w:rFonts w:ascii="Times New Roman" w:hAnsi="Times New Roman" w:cs="Times New Roman"/>
                <w:color w:val="#000000"/>
                <w:sz w:val="18"/>
                <w:szCs w:val="18"/>
              </w:rPr>
              <w:t>класифікації</w:t>
            </w:r>
            <w:r>
              <w:rPr/>
              <w:t xml:space="preserve"> </w:t>
            </w:r>
            <w:r>
              <w:rPr>
                <w:rFonts w:ascii="Times New Roman" w:hAnsi="Times New Roman" w:cs="Times New Roman"/>
                <w:color w:val="#000000"/>
                <w:sz w:val="18"/>
                <w:szCs w:val="18"/>
              </w:rPr>
              <w:t>видатків</w:t>
            </w:r>
            <w:r>
              <w:rPr/>
              <w:t xml:space="preserve"> </w:t>
            </w:r>
            <w:r>
              <w:rPr>
                <w:rFonts w:ascii="Times New Roman" w:hAnsi="Times New Roman" w:cs="Times New Roman"/>
                <w:color w:val="#000000"/>
                <w:sz w:val="18"/>
                <w:szCs w:val="18"/>
              </w:rPr>
              <w:t>та</w:t>
            </w:r>
            <w:r>
              <w:rPr/>
              <w:t xml:space="preserve"> </w:t>
            </w:r>
            <w:r>
              <w:rPr>
                <w:rFonts w:ascii="Times New Roman" w:hAnsi="Times New Roman" w:cs="Times New Roman"/>
                <w:color w:val="#000000"/>
                <w:sz w:val="18"/>
                <w:szCs w:val="18"/>
              </w:rPr>
              <w:t>кредитування</w:t>
            </w:r>
            <w:r>
              <w:rPr/>
              <w:t xml:space="preserve"> </w:t>
            </w:r>
            <w:r>
              <w:rPr>
                <w:rFonts w:ascii="Times New Roman" w:hAnsi="Times New Roman" w:cs="Times New Roman"/>
                <w:color w:val="#000000"/>
                <w:sz w:val="18"/>
                <w:szCs w:val="18"/>
              </w:rPr>
              <w:t>місцевих</w:t>
            </w:r>
            <w:r>
              <w:rPr/>
              <w:t xml:space="preserve"> </w:t>
            </w:r>
            <w:r>
              <w:rPr>
                <w:rFonts w:ascii="Times New Roman" w:hAnsi="Times New Roman" w:cs="Times New Roman"/>
                <w:color w:val="#000000"/>
                <w:sz w:val="18"/>
                <w:szCs w:val="18"/>
              </w:rPr>
              <w:t>бюджетів</w:t>
            </w:r>
            <w:r>
              <w:rPr/>
              <w:t xml:space="preserve"> </w:t>
            </w:r>
            <w:r>
              <w:rPr>
                <w:rFonts w:ascii="Times New Roman" w:hAnsi="Times New Roman" w:cs="Times New Roman"/>
                <w:b/>
                <w:color w:val="#000000"/>
                <w:sz w:val="18"/>
                <w:szCs w:val="18"/>
              </w:rPr>
              <w:t>002</w:t>
            </w:r>
            <w:r>
              <w:rPr/>
              <w:t xml:space="preserve"> </w:t>
            </w:r>
            <w:r>
              <w:rPr>
                <w:rFonts w:ascii="Times New Roman" w:hAnsi="Times New Roman" w:cs="Times New Roman"/>
                <w:b/>
                <w:color w:val="#000000"/>
                <w:sz w:val="18"/>
                <w:szCs w:val="18"/>
              </w:rPr>
              <w:t>-</w:t>
            </w:r>
            <w:r>
              <w:rPr/>
              <w:t xml:space="preserve"> </w:t>
            </w:r>
            <w:r>
              <w:rPr>
                <w:rFonts w:ascii="Times New Roman" w:hAnsi="Times New Roman" w:cs="Times New Roman"/>
                <w:b/>
                <w:color w:val="#000000"/>
                <w:sz w:val="18"/>
                <w:szCs w:val="18"/>
              </w:rPr>
              <w:t>Виконавчі</w:t>
            </w:r>
            <w:r>
              <w:rPr/>
              <w:t xml:space="preserve"> </w:t>
            </w:r>
            <w:r>
              <w:rPr>
                <w:rFonts w:ascii="Times New Roman" w:hAnsi="Times New Roman" w:cs="Times New Roman"/>
                <w:b/>
                <w:color w:val="#000000"/>
                <w:sz w:val="18"/>
                <w:szCs w:val="18"/>
              </w:rPr>
              <w:t>органи</w:t>
            </w:r>
            <w:r>
              <w:rPr/>
              <w:t xml:space="preserve"> </w:t>
            </w:r>
            <w:r>
              <w:rPr>
                <w:rFonts w:ascii="Times New Roman" w:hAnsi="Times New Roman" w:cs="Times New Roman"/>
                <w:b/>
                <w:color w:val="#000000"/>
                <w:sz w:val="18"/>
                <w:szCs w:val="18"/>
              </w:rPr>
              <w:t>місцевих</w:t>
            </w:r>
            <w:r>
              <w:rPr/>
              <w:t xml:space="preserve"> </w:t>
            </w:r>
            <w:r>
              <w:rPr>
                <w:rFonts w:ascii="Times New Roman" w:hAnsi="Times New Roman" w:cs="Times New Roman"/>
                <w:b/>
                <w:color w:val="#000000"/>
                <w:sz w:val="18"/>
                <w:szCs w:val="18"/>
              </w:rPr>
              <w:t>рад</w:t>
            </w:r>
            <w:r>
              <w:rPr/>
              <w:t xml:space="preserve"> </w:t>
            </w:r>
          </w:p>
        </w:tc>
        <w:tc>
          <w:tcPr>
            <w:tcW w:w="680.4" w:type="dxa"/>
            <w:gridSpan w:val="2"/>
            <w:tcBorders>
</w:tcBorders>
            <w:shd w:val="clear" w:color="#000000" w:fill="#FFFFFF"/>
            <w:vAlign w:val="top"/>
            <w:tcMar>
              <w:top w:w="17" w:type="dxa"/>
              <w:left w:w="38" w:type="dxa"/>
              <w:bottom w:w="17" w:type="dxa"/>
              <w:right w:w="38" w:type="dxa"/>
            </w:tcMar>
          </w:tcPr>
          <w:p/>
        </w:tc>
        <w:tc>
          <w:tcPr>
            <w:tcW w:w="680.4" w:type="dxa"/>
            <w:gridSpan w:val="2"/>
            <w:tcBorders>
</w:tcBorders>
            <w:shd w:val="clear" w:color="#000000" w:fill="#FFFFFF"/>
            <w:vAlign w:val="top"/>
            <w:tcMar>
              <w:top w:w="17" w:type="dxa"/>
              <w:left w:w="38" w:type="dxa"/>
              <w:bottom w:w="17" w:type="dxa"/>
              <w:right w:w="38" w:type="dxa"/>
            </w:tcMar>
          </w:tcPr>
          <w:p/>
        </w:tc>
        <w:tc>
          <w:tcPr>
            <w:tcW w:w="680.4" w:type="dxa"/>
            <w:gridSpan w:val="2"/>
            <w:tcBorders>
</w:tcBorders>
            <w:shd w:val="clear" w:color="#000000" w:fill="#FFFFFF"/>
            <w:vAlign w:val="top"/>
            <w:tcMar>
              <w:top w:w="17" w:type="dxa"/>
              <w:left w:w="38" w:type="dxa"/>
              <w:bottom w:w="17" w:type="dxa"/>
              <w:right w:w="38" w:type="dxa"/>
            </w:tcMar>
          </w:tcPr>
          <w:p/>
        </w:tc>
      </w:tr>
      <w:tr>
        <w:trPr>
          <w:trHeight w:hRule="exact" w:val="246.96"/>
        </w:trPr>
        <w:tc>
          <w:tcPr>
            <w:tcW w:w="2551.5" w:type="dxa"/>
            <w:gridSpan w:val="4"/>
            <w:tcBorders>
</w:tcBorders>
            <w:shd w:val="clear" w:color="#000000" w:fill="#FFFFFF"/>
            <w:vAlign w:val="center"/>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Періодичність:</w:t>
            </w:r>
            <w:r>
              <w:rPr/>
              <w:t xml:space="preserve"> </w:t>
            </w:r>
            <w:r>
              <w:rPr>
                <w:rFonts w:ascii="Times New Roman" w:hAnsi="Times New Roman" w:cs="Times New Roman"/>
                <w:b/>
                <w:color w:val="#000000"/>
                <w:sz w:val="18"/>
                <w:szCs w:val="18"/>
              </w:rPr>
              <w:t>річна</w:t>
            </w:r>
            <w:r>
              <w:rPr/>
              <w:t xml:space="preserve"> </w:t>
            </w:r>
          </w:p>
        </w:tc>
        <w:tc>
          <w:tcPr>
            <w:tcW w:w="4252.5" w:type="dxa"/>
            <w:gridSpan w:val="8"/>
            <w:tcBorders>
</w:tcBorders>
            <w:shd w:val="clear" w:color="#000000" w:fill="#FFFFFF"/>
            <w:vAlign w:val="center"/>
            <w:tcMar>
              <w:top w:w="17" w:type="dxa"/>
              <w:left w:w="38" w:type="dxa"/>
              <w:bottom w:w="17" w:type="dxa"/>
              <w:right w:w="38" w:type="dxa"/>
            </w:tcMar>
          </w:tcPr>
          <w:p/>
        </w:tc>
        <w:tc>
          <w:tcPr>
            <w:tcW w:w="1349.4" w:type="dxa"/>
            <w:gridSpan w:val="3"/>
            <w:tcBorders>
</w:tcBorders>
            <w:shd w:val="clear" w:color="#000000" w:fill="#FFFFFF"/>
            <w:vAlign w:val="center"/>
            <w:tcMar>
              <w:top w:w="17" w:type="dxa"/>
              <w:left w:w="38" w:type="dxa"/>
              <w:bottom w:w="17" w:type="dxa"/>
              <w:right w:w="38" w:type="dxa"/>
            </w:tcMar>
          </w:tcPr>
          <w:p/>
        </w:tc>
        <w:tc>
          <w:tcPr>
            <w:tcW w:w="680.4" w:type="dxa"/>
            <w:gridSpan w:val="2"/>
            <w:tcBorders>
</w:tcBorders>
            <w:shd w:val="clear" w:color="#000000" w:fill="#FFFFFF"/>
            <w:vAlign w:val="center"/>
            <w:tcMar>
              <w:top w:w="17" w:type="dxa"/>
              <w:left w:w="38" w:type="dxa"/>
              <w:bottom w:w="17" w:type="dxa"/>
              <w:right w:w="38" w:type="dxa"/>
            </w:tcMar>
          </w:tcPr>
          <w:p/>
        </w:tc>
        <w:tc>
          <w:tcPr>
            <w:tcW w:w="680.4" w:type="dxa"/>
            <w:gridSpan w:val="2"/>
            <w:tcBorders>
</w:tcBorders>
            <w:shd w:val="clear" w:color="#000000" w:fill="#FFFFFF"/>
            <w:vAlign w:val="center"/>
            <w:tcMar>
              <w:top w:w="17" w:type="dxa"/>
              <w:left w:w="38" w:type="dxa"/>
              <w:bottom w:w="17" w:type="dxa"/>
              <w:right w:w="38" w:type="dxa"/>
            </w:tcMar>
          </w:tcPr>
          <w:p/>
        </w:tc>
        <w:tc>
          <w:tcPr>
            <w:tcW w:w="680.4" w:type="dxa"/>
            <w:gridSpan w:val="2"/>
            <w:tcBorders>
</w:tcBorders>
            <w:shd w:val="clear" w:color="#000000" w:fill="#FFFFFF"/>
            <w:vAlign w:val="center"/>
            <w:tcMar>
              <w:top w:w="17" w:type="dxa"/>
              <w:left w:w="38" w:type="dxa"/>
              <w:bottom w:w="17" w:type="dxa"/>
              <w:right w:w="38" w:type="dxa"/>
            </w:tcMar>
          </w:tcPr>
          <w:p/>
        </w:tc>
      </w:tr>
      <w:tr>
        <w:trPr>
          <w:trHeight w:hRule="exact" w:val="302.0848"/>
        </w:trPr>
        <w:tc>
          <w:tcPr>
            <w:tcW w:w="567" w:type="dxa"/>
          </w:tcPr>
          <w:p/>
        </w:tc>
        <w:tc>
          <w:tcPr>
            <w:tcW w:w="992" w:type="dxa"/>
          </w:tcPr>
          <w:p/>
        </w:tc>
        <w:tc>
          <w:tcPr>
            <w:tcW w:w="737" w:type="dxa"/>
          </w:tcPr>
          <w:p/>
        </w:tc>
        <w:tc>
          <w:tcPr>
            <w:tcW w:w="255" w:type="dxa"/>
          </w:tcPr>
          <w:p/>
        </w:tc>
        <w:tc>
          <w:tcPr>
            <w:tcW w:w="891" w:type="dxa"/>
          </w:tcPr>
          <w:p/>
        </w:tc>
        <w:tc>
          <w:tcPr>
            <w:tcW w:w="203" w:type="dxa"/>
          </w:tcPr>
          <w:p/>
        </w:tc>
        <w:tc>
          <w:tcPr>
            <w:tcW w:w="830" w:type="dxa"/>
          </w:tcPr>
          <w:p/>
        </w:tc>
        <w:tc>
          <w:tcPr>
            <w:tcW w:w="520" w:type="dxa"/>
          </w:tcPr>
          <w:p/>
        </w:tc>
        <w:tc>
          <w:tcPr>
            <w:tcW w:w="675" w:type="dxa"/>
          </w:tcPr>
          <w:p/>
        </w:tc>
        <w:tc>
          <w:tcPr>
            <w:tcW w:w="675" w:type="dxa"/>
          </w:tcPr>
          <w:p/>
        </w:tc>
        <w:tc>
          <w:tcPr>
            <w:tcW w:w="298" w:type="dxa"/>
          </w:tcPr>
          <w:p/>
        </w:tc>
        <w:tc>
          <w:tcPr>
            <w:tcW w:w="161" w:type="dxa"/>
          </w:tcPr>
          <w:p/>
        </w:tc>
        <w:tc>
          <w:tcPr>
            <w:tcW w:w="644" w:type="dxa"/>
          </w:tcPr>
          <w:p/>
        </w:tc>
        <w:tc>
          <w:tcPr>
            <w:tcW w:w="246" w:type="dxa"/>
          </w:tcPr>
          <w:p/>
        </w:tc>
        <w:tc>
          <w:tcPr>
            <w:tcW w:w="459" w:type="dxa"/>
          </w:tcPr>
          <w:p/>
        </w:tc>
        <w:tc>
          <w:tcPr>
            <w:tcW w:w="352" w:type="dxa"/>
          </w:tcPr>
          <w:p/>
        </w:tc>
        <w:tc>
          <w:tcPr>
            <w:tcW w:w="329" w:type="dxa"/>
          </w:tcPr>
          <w:p/>
        </w:tc>
        <w:tc>
          <w:tcPr>
            <w:tcW w:w="210" w:type="dxa"/>
          </w:tcPr>
          <w:p/>
        </w:tc>
        <w:tc>
          <w:tcPr>
            <w:tcW w:w="471" w:type="dxa"/>
          </w:tcPr>
          <w:p/>
        </w:tc>
        <w:tc>
          <w:tcPr>
            <w:tcW w:w="289" w:type="dxa"/>
          </w:tcPr>
          <w:p/>
        </w:tc>
        <w:tc>
          <w:tcPr>
            <w:tcW w:w="391" w:type="dxa"/>
          </w:tcPr>
          <w:p/>
        </w:tc>
      </w:tr>
      <w:tr>
        <w:trPr>
          <w:trHeight w:hRule="exact" w:val="329.2799"/>
        </w:trPr>
        <w:tc>
          <w:tcPr>
            <w:tcW w:w="5670"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b/>
                <w:color w:val="#000000"/>
                <w:sz w:val="12"/>
                <w:szCs w:val="12"/>
              </w:rPr>
              <w:t> Короткий опис основної діяльності установи</w:t>
            </w:r>
          </w:p>
        </w:tc>
        <w:tc>
          <w:tcPr>
            <w:tcW w:w="283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b/>
                <w:color w:val="#000000"/>
                <w:sz w:val="12"/>
                <w:szCs w:val="12"/>
              </w:rPr>
              <w:t> Найменування органу, якому підпорядкована установа</w:t>
            </w:r>
          </w:p>
        </w:tc>
        <w:tc>
          <w:tcPr>
            <w:tcW w:w="170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b/>
                <w:color w:val="#000000"/>
                <w:sz w:val="12"/>
                <w:szCs w:val="12"/>
              </w:rPr>
              <w:t> Середня чисельність працівників</w:t>
            </w:r>
          </w:p>
        </w:tc>
      </w:tr>
      <w:tr>
        <w:trPr>
          <w:trHeight w:hRule="exact" w:val="166.6979"/>
        </w:trPr>
        <w:tc>
          <w:tcPr>
            <w:tcW w:w="5670"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20" w:lineRule="auto"/>
              <w:rPr>
                <w:sz w:val="10"/>
                <w:szCs w:val="10"/>
              </w:rPr>
            </w:pPr>
            <w:r>
              <w:rPr>
                <w:rFonts w:ascii="Times New Roman" w:hAnsi="Times New Roman" w:cs="Times New Roman"/>
                <w:color w:val="#000000"/>
                <w:sz w:val="10"/>
                <w:szCs w:val="10"/>
              </w:rPr>
              <w:t> 1</w:t>
            </w:r>
          </w:p>
        </w:tc>
        <w:tc>
          <w:tcPr>
            <w:tcW w:w="283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20" w:lineRule="auto"/>
              <w:rPr>
                <w:sz w:val="10"/>
                <w:szCs w:val="10"/>
              </w:rPr>
            </w:pPr>
            <w:r>
              <w:rPr>
                <w:rFonts w:ascii="Times New Roman" w:hAnsi="Times New Roman" w:cs="Times New Roman"/>
                <w:color w:val="#000000"/>
                <w:sz w:val="10"/>
                <w:szCs w:val="10"/>
              </w:rPr>
              <w:t> 2</w:t>
            </w:r>
          </w:p>
        </w:tc>
        <w:tc>
          <w:tcPr>
            <w:tcW w:w="1701"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20" w:lineRule="auto"/>
              <w:rPr>
                <w:sz w:val="10"/>
                <w:szCs w:val="10"/>
              </w:rPr>
            </w:pPr>
            <w:r>
              <w:rPr>
                <w:rFonts w:ascii="Times New Roman" w:hAnsi="Times New Roman" w:cs="Times New Roman"/>
                <w:color w:val="#000000"/>
                <w:sz w:val="10"/>
                <w:szCs w:val="10"/>
              </w:rPr>
              <w:t> 3</w:t>
            </w:r>
          </w:p>
        </w:tc>
      </w:tr>
      <w:tr>
        <w:trPr>
          <w:trHeight w:hRule="exact" w:val="1140.573"/>
        </w:trPr>
        <w:tc>
          <w:tcPr>
            <w:tcW w:w="5670"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color w:val="#000000"/>
                <w:sz w:val="12"/>
                <w:szCs w:val="12"/>
              </w:rPr>
              <w:t> Роздільнянська районна державна адміністрація належить до сфери управління Одеської обласної державної адміністрації, є спеціально уповноваженим  органом державної виконавчої влади, діє на підставі  Закону України „Про місцеві державні адміністрації”  Розташована за адресою: 67400, м. Роздільна вул.. Незалежності 9;   код ЄДРПОУ 04056859.</w:t>
            </w:r>
          </w:p>
          <w:p>
            <w:pPr>
              <w:jc w:val="left"/>
              <w:spacing w:after="0" w:line="150" w:lineRule="auto"/>
              <w:rPr>
                <w:sz w:val="12"/>
                <w:szCs w:val="12"/>
              </w:rPr>
            </w:pPr>
            <w:r>
              <w:rPr>
                <w:rFonts w:ascii="Times New Roman" w:hAnsi="Times New Roman" w:cs="Times New Roman"/>
                <w:color w:val="#000000"/>
                <w:sz w:val="12"/>
                <w:szCs w:val="12"/>
              </w:rPr>
              <w:t>       Має  рахунки в Головному управлінні Державної казначейської служби України в Одеській області, гербові печатки та штампи.  Роздільнянська райдержадміністрація у своїй діяльності керується Конституцією України, законами України, актами Президента України, Постановами кабінету Міністрів, розпорядженнями обласної державної адміністрації.</w:t>
            </w:r>
          </w:p>
        </w:tc>
        <w:tc>
          <w:tcPr>
            <w:tcW w:w="283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color w:val="#000000"/>
                <w:sz w:val="12"/>
                <w:szCs w:val="12"/>
              </w:rPr>
              <w:t> Одеська  обласна державна адміністрація</w:t>
            </w:r>
          </w:p>
        </w:tc>
        <w:tc>
          <w:tcPr>
            <w:tcW w:w="1701"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color w:val="#000000"/>
                <w:sz w:val="12"/>
                <w:szCs w:val="12"/>
              </w:rPr>
              <w:t> Штатна чисельність працівників складає 54 одиниці.</w:t>
            </w:r>
          </w:p>
        </w:tc>
      </w:tr>
      <w:tr>
        <w:trPr>
          <w:trHeight w:hRule="exact" w:val="277.8304"/>
        </w:trPr>
        <w:tc>
          <w:tcPr>
            <w:tcW w:w="567" w:type="dxa"/>
          </w:tcPr>
          <w:p/>
        </w:tc>
        <w:tc>
          <w:tcPr>
            <w:tcW w:w="992" w:type="dxa"/>
          </w:tcPr>
          <w:p/>
        </w:tc>
        <w:tc>
          <w:tcPr>
            <w:tcW w:w="737" w:type="dxa"/>
          </w:tcPr>
          <w:p/>
        </w:tc>
        <w:tc>
          <w:tcPr>
            <w:tcW w:w="255" w:type="dxa"/>
          </w:tcPr>
          <w:p/>
        </w:tc>
        <w:tc>
          <w:tcPr>
            <w:tcW w:w="891" w:type="dxa"/>
          </w:tcPr>
          <w:p/>
        </w:tc>
        <w:tc>
          <w:tcPr>
            <w:tcW w:w="203" w:type="dxa"/>
          </w:tcPr>
          <w:p/>
        </w:tc>
        <w:tc>
          <w:tcPr>
            <w:tcW w:w="830" w:type="dxa"/>
          </w:tcPr>
          <w:p/>
        </w:tc>
        <w:tc>
          <w:tcPr>
            <w:tcW w:w="520" w:type="dxa"/>
          </w:tcPr>
          <w:p/>
        </w:tc>
        <w:tc>
          <w:tcPr>
            <w:tcW w:w="675" w:type="dxa"/>
          </w:tcPr>
          <w:p/>
        </w:tc>
        <w:tc>
          <w:tcPr>
            <w:tcW w:w="675" w:type="dxa"/>
          </w:tcPr>
          <w:p/>
        </w:tc>
        <w:tc>
          <w:tcPr>
            <w:tcW w:w="298" w:type="dxa"/>
          </w:tcPr>
          <w:p/>
        </w:tc>
        <w:tc>
          <w:tcPr>
            <w:tcW w:w="161" w:type="dxa"/>
          </w:tcPr>
          <w:p/>
        </w:tc>
        <w:tc>
          <w:tcPr>
            <w:tcW w:w="644" w:type="dxa"/>
          </w:tcPr>
          <w:p/>
        </w:tc>
        <w:tc>
          <w:tcPr>
            <w:tcW w:w="246" w:type="dxa"/>
          </w:tcPr>
          <w:p/>
        </w:tc>
        <w:tc>
          <w:tcPr>
            <w:tcW w:w="459" w:type="dxa"/>
          </w:tcPr>
          <w:p/>
        </w:tc>
        <w:tc>
          <w:tcPr>
            <w:tcW w:w="352" w:type="dxa"/>
          </w:tcPr>
          <w:p/>
        </w:tc>
        <w:tc>
          <w:tcPr>
            <w:tcW w:w="329" w:type="dxa"/>
          </w:tcPr>
          <w:p/>
        </w:tc>
        <w:tc>
          <w:tcPr>
            <w:tcW w:w="210" w:type="dxa"/>
          </w:tcPr>
          <w:p/>
        </w:tc>
        <w:tc>
          <w:tcPr>
            <w:tcW w:w="471" w:type="dxa"/>
          </w:tcPr>
          <w:p/>
        </w:tc>
        <w:tc>
          <w:tcPr>
            <w:tcW w:w="289" w:type="dxa"/>
          </w:tcPr>
          <w:p/>
        </w:tc>
        <w:tc>
          <w:tcPr>
            <w:tcW w:w="391" w:type="dxa"/>
          </w:tcPr>
          <w:p/>
        </w:tc>
      </w:tr>
      <w:tr>
        <w:trPr>
          <w:trHeight w:hRule="exact" w:val="1366.953"/>
        </w:trPr>
        <w:tc>
          <w:tcPr>
            <w:tcW w:w="10206" w:type="dxa"/>
            <w:gridSpan w:val="21"/>
            <w:tcBorders>
</w:tcBorders>
            <w:shd w:val="clear" w:color="#000000" w:fill="#FFFFFF"/>
            <w:vAlign w:val="top"/>
            <w:tcMar>
              <w:top w:w="0" w:type="dxa"/>
              <w:left w:w="38" w:type="dxa"/>
              <w:bottom w:w="0" w:type="dxa"/>
              <w:right w:w="38" w:type="dxa"/>
            </w:tcMar>
          </w:tcPr>
          <w:p>
            <w:pPr>
              <w:jc w:val="both"/>
              <w:spacing w:after="0" w:line="240" w:lineRule="auto"/>
              <w:rPr>
                <w:sz w:val="20"/>
                <w:szCs w:val="20"/>
              </w:rPr>
            </w:pPr>
            <w:r>
              <w:rPr>
                <w:rFonts w:ascii="Times New Roman" w:hAnsi="Times New Roman" w:cs="Times New Roman"/>
                <w:color w:val="#000000"/>
                <w:sz w:val="20"/>
                <w:szCs w:val="20"/>
              </w:rPr>
              <w:t>         По КПКВ 02 Виконавчі органи місцевих рад, Рада міністрів Автономної Республіки Крим, державна адміністрація (обласні державні адміністрації, Київська, Севастопольська міські державні адміністрації, районні державні адміністрації (управління, відділи) на  2022 рік коштів   передбачено в сумі 1 849 490,00  грн.    За звітній період  фінансування не надходило. Касові видатки за звітний період складають 849490,00 грн. Фактичні видатки складають 789074,66 грн. та менше касових в зв’язку з залишком матеріалів на початок звітного періоду та на кінець.</w:t>
            </w:r>
          </w:p>
        </w:tc>
      </w:tr>
      <w:tr>
        <w:trPr>
          <w:trHeight w:hRule="exact" w:val="465.402"/>
        </w:trPr>
        <w:tc>
          <w:tcPr>
            <w:tcW w:w="10206" w:type="dxa"/>
            <w:gridSpan w:val="21"/>
            <w:tcBorders>
</w:tcBorders>
            <w:shd w:val="clear" w:color="#000000" w:fill="#FFFFFF"/>
            <w:vAlign w:val="top"/>
            <w:tcMar>
              <w:top w:w="0" w:type="dxa"/>
              <w:left w:w="38" w:type="dxa"/>
              <w:bottom w:w="0" w:type="dxa"/>
              <w:right w:w="38" w:type="dxa"/>
            </w:tcMar>
          </w:tcPr>
          <w:p>
            <w:pPr>
              <w:jc w:val="both"/>
              <w:spacing w:after="0" w:line="240" w:lineRule="auto"/>
              <w:rPr>
                <w:sz w:val="20"/>
                <w:szCs w:val="20"/>
              </w:rPr>
            </w:pPr>
            <w:r>
              <w:rPr>
                <w:rFonts w:ascii="Times New Roman" w:hAnsi="Times New Roman" w:cs="Times New Roman"/>
                <w:color w:val="#000000"/>
                <w:sz w:val="20"/>
                <w:szCs w:val="20"/>
              </w:rPr>
              <w:t>          В активі балансу по рядку 1001  «Первісна вартість основних засобів» залишок на початок року складає 2 799 419,10 грн. на  кінець звітного періоду складає 2904213,60 грн.</w:t>
            </w:r>
          </w:p>
        </w:tc>
      </w:tr>
      <w:tr>
        <w:trPr>
          <w:trHeight w:hRule="exact" w:val="465.4016"/>
        </w:trPr>
        <w:tc>
          <w:tcPr>
            <w:tcW w:w="10206" w:type="dxa"/>
            <w:gridSpan w:val="21"/>
            <w:tcBorders>
</w:tcBorders>
            <w:shd w:val="clear" w:color="#000000" w:fill="#FFFFFF"/>
            <w:vAlign w:val="top"/>
            <w:tcMar>
              <w:top w:w="0" w:type="dxa"/>
              <w:left w:w="38" w:type="dxa"/>
              <w:bottom w:w="0" w:type="dxa"/>
              <w:right w:w="38" w:type="dxa"/>
            </w:tcMar>
          </w:tcPr>
          <w:p>
            <w:pPr>
              <w:jc w:val="both"/>
              <w:spacing w:after="0" w:line="240" w:lineRule="auto"/>
              <w:rPr>
                <w:sz w:val="20"/>
                <w:szCs w:val="20"/>
              </w:rPr>
            </w:pPr>
            <w:r>
              <w:rPr>
                <w:rFonts w:ascii="Times New Roman" w:hAnsi="Times New Roman" w:cs="Times New Roman"/>
                <w:color w:val="#000000"/>
                <w:sz w:val="20"/>
                <w:szCs w:val="20"/>
              </w:rPr>
              <w:t>         В активі балансу  по рядку 1021 «Первісна вартість  нематеріальних активів» залишки на початок року та на кінець звітного періоду відсутні.</w:t>
            </w:r>
          </w:p>
        </w:tc>
      </w:tr>
      <w:tr>
        <w:trPr>
          <w:trHeight w:hRule="exact" w:val="465.4016"/>
        </w:trPr>
        <w:tc>
          <w:tcPr>
            <w:tcW w:w="10206" w:type="dxa"/>
            <w:gridSpan w:val="21"/>
            <w:tcBorders>
</w:tcBorders>
            <w:shd w:val="clear" w:color="#000000" w:fill="#FFFFFF"/>
            <w:vAlign w:val="top"/>
            <w:tcMar>
              <w:top w:w="0" w:type="dxa"/>
              <w:left w:w="38" w:type="dxa"/>
              <w:bottom w:w="0" w:type="dxa"/>
              <w:right w:w="38" w:type="dxa"/>
            </w:tcMar>
          </w:tcPr>
          <w:p>
            <w:pPr>
              <w:jc w:val="both"/>
              <w:spacing w:after="0" w:line="240" w:lineRule="auto"/>
              <w:rPr>
                <w:sz w:val="20"/>
                <w:szCs w:val="20"/>
              </w:rPr>
            </w:pPr>
            <w:r>
              <w:rPr>
                <w:rFonts w:ascii="Times New Roman" w:hAnsi="Times New Roman" w:cs="Times New Roman"/>
                <w:color w:val="#000000"/>
                <w:sz w:val="20"/>
                <w:szCs w:val="20"/>
              </w:rPr>
              <w:t>         По рядку 1050 «Запаси» Залишок на початок року складає 99634,06 грн.  та на  кінець звітного періоду складає 272504,70 грн.</w:t>
            </w:r>
          </w:p>
        </w:tc>
      </w:tr>
      <w:tr>
        <w:trPr>
          <w:trHeight w:hRule="exact" w:val="465.4025"/>
        </w:trPr>
        <w:tc>
          <w:tcPr>
            <w:tcW w:w="10206" w:type="dxa"/>
            <w:gridSpan w:val="21"/>
            <w:tcBorders>
</w:tcBorders>
            <w:shd w:val="clear" w:color="#000000" w:fill="#FFFFFF"/>
            <w:vAlign w:val="top"/>
            <w:tcMar>
              <w:top w:w="0" w:type="dxa"/>
              <w:left w:w="38" w:type="dxa"/>
              <w:bottom w:w="0" w:type="dxa"/>
              <w:right w:w="38" w:type="dxa"/>
            </w:tcMar>
          </w:tcPr>
          <w:p>
            <w:pPr>
              <w:jc w:val="both"/>
              <w:spacing w:after="0" w:line="240" w:lineRule="auto"/>
              <w:rPr>
                <w:sz w:val="20"/>
                <w:szCs w:val="20"/>
              </w:rPr>
            </w:pPr>
            <w:r>
              <w:rPr>
                <w:rFonts w:ascii="Times New Roman" w:hAnsi="Times New Roman" w:cs="Times New Roman"/>
                <w:color w:val="#000000"/>
                <w:sz w:val="20"/>
                <w:szCs w:val="20"/>
              </w:rPr>
              <w:t>            За звітними даними дебіторська заборгованість відсутня.  Кредиторська заборгованість на початок року та на кінець звітного періоду  відсутня.</w:t>
            </w:r>
          </w:p>
        </w:tc>
      </w:tr>
      <w:tr>
        <w:trPr>
          <w:trHeight w:hRule="exact" w:val="465.4016"/>
        </w:trPr>
        <w:tc>
          <w:tcPr>
            <w:tcW w:w="10206" w:type="dxa"/>
            <w:gridSpan w:val="21"/>
            <w:tcBorders>
</w:tcBorders>
            <w:shd w:val="clear" w:color="#000000" w:fill="#FFFFFF"/>
            <w:vAlign w:val="top"/>
            <w:tcMar>
              <w:top w:w="0" w:type="dxa"/>
              <w:left w:w="38" w:type="dxa"/>
              <w:bottom w:w="0" w:type="dxa"/>
              <w:right w:w="38" w:type="dxa"/>
            </w:tcMar>
          </w:tcPr>
          <w:p>
            <w:pPr>
              <w:jc w:val="both"/>
              <w:spacing w:after="0" w:line="240" w:lineRule="auto"/>
              <w:rPr>
                <w:sz w:val="20"/>
                <w:szCs w:val="20"/>
              </w:rPr>
            </w:pPr>
            <w:r>
              <w:rPr>
                <w:rFonts w:ascii="Times New Roman" w:hAnsi="Times New Roman" w:cs="Times New Roman"/>
                <w:color w:val="#000000"/>
                <w:sz w:val="20"/>
                <w:szCs w:val="20"/>
              </w:rPr>
              <w:t>           Залишок коштів на  рахунку в УДКСУ у Роздільнянському районі Одеської області  на звітну дату  відсутній.</w:t>
            </w:r>
          </w:p>
        </w:tc>
      </w:tr>
      <w:tr>
        <w:trPr>
          <w:trHeight w:hRule="exact" w:val="916.2521"/>
        </w:trPr>
        <w:tc>
          <w:tcPr>
            <w:tcW w:w="10206" w:type="dxa"/>
            <w:gridSpan w:val="21"/>
            <w:tcBorders>
</w:tcBorders>
            <w:shd w:val="clear" w:color="#000000" w:fill="#FFFFFF"/>
            <w:vAlign w:val="top"/>
            <w:tcMar>
              <w:top w:w="0" w:type="dxa"/>
              <w:left w:w="38" w:type="dxa"/>
              <w:bottom w:w="0" w:type="dxa"/>
              <w:right w:w="38" w:type="dxa"/>
            </w:tcMar>
          </w:tcPr>
          <w:p>
            <w:pPr>
              <w:jc w:val="both"/>
              <w:spacing w:after="0" w:line="240" w:lineRule="auto"/>
              <w:rPr>
                <w:sz w:val="20"/>
                <w:szCs w:val="20"/>
              </w:rPr>
            </w:pPr>
            <w:r>
              <w:rPr>
                <w:rFonts w:ascii="Times New Roman" w:hAnsi="Times New Roman" w:cs="Times New Roman"/>
                <w:color w:val="#000000"/>
                <w:sz w:val="20"/>
                <w:szCs w:val="20"/>
              </w:rPr>
              <w:t>         З метою ліквідації дебіторської та кредиторської заборгованості райдержадміністрацією постійно проводиться робота та встановлено контроль за зменшенням обсягів дебіторської та кредиторської заборгованості. Кошти для виконання окремих доручень, благодійні внески, гранти та дарунки до Роздільнянської районної державної адміністрації у звітному періоді не надходили.</w:t>
            </w:r>
          </w:p>
        </w:tc>
      </w:tr>
      <w:tr>
        <w:trPr>
          <w:trHeight w:hRule="exact" w:val="277.8295"/>
        </w:trPr>
        <w:tc>
          <w:tcPr>
            <w:tcW w:w="567" w:type="dxa"/>
            <w:tcBorders>
</w:tcBorders>
            <w:shd w:val="clear" w:color="#000000" w:fill="#FFFFFF"/>
            <w:vAlign w:val="bottom"/>
            <w:tcMar>
              <w:top w:w="17" w:type="dxa"/>
              <w:left w:w="38" w:type="dxa"/>
              <w:bottom w:w="17" w:type="dxa"/>
              <w:right w:w="38" w:type="dxa"/>
            </w:tcMar>
          </w:tcPr>
          <w:p/>
        </w:tc>
        <w:tc>
          <w:tcPr>
            <w:tcW w:w="992.25" w:type="dxa"/>
            <w:tcBorders>
</w:tcBorders>
            <w:shd w:val="clear" w:color="#000000" w:fill="#FFFFFF"/>
            <w:vAlign w:val="top"/>
            <w:tcMar>
              <w:top w:w="17" w:type="dxa"/>
              <w:left w:w="38" w:type="dxa"/>
              <w:bottom w:w="17" w:type="dxa"/>
              <w:right w:w="38" w:type="dxa"/>
            </w:tcMar>
          </w:tcPr>
          <w:p/>
        </w:tc>
        <w:tc>
          <w:tcPr>
            <w:tcW w:w="737.1" w:type="dxa"/>
            <w:tcBorders>
</w:tcBorders>
            <w:shd w:val="clear" w:color="#000000" w:fill="#FFFFFF"/>
            <w:vAlign w:val="bottom"/>
            <w:tcMar>
              <w:top w:w="17" w:type="dxa"/>
              <w:left w:w="38" w:type="dxa"/>
              <w:bottom w:w="17" w:type="dxa"/>
              <w:right w:w="38" w:type="dxa"/>
            </w:tcMar>
          </w:tcPr>
          <w:p/>
        </w:tc>
        <w:tc>
          <w:tcPr>
            <w:tcW w:w="1349.4" w:type="dxa"/>
            <w:gridSpan w:val="3"/>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1349.4" w:type="dxa"/>
            <w:gridSpan w:val="4"/>
            <w:tcBorders>
</w:tcBorders>
            <w:shd w:val="clear" w:color="#000000" w:fill="#FFFFFF"/>
            <w:vAlign w:val="top"/>
            <w:tcMar>
              <w:top w:w="17" w:type="dxa"/>
              <w:left w:w="38" w:type="dxa"/>
              <w:bottom w:w="17" w:type="dxa"/>
              <w:right w:w="38" w:type="dxa"/>
            </w:tcMar>
          </w:tcPr>
          <w:p/>
        </w:tc>
        <w:tc>
          <w:tcPr>
            <w:tcW w:w="1349.4" w:type="dxa"/>
            <w:gridSpan w:val="4"/>
            <w:tcBorders>
</w:tcBorders>
            <w:shd w:val="clear" w:color="#000000" w:fill="#FFFFFF"/>
            <w:vAlign w:val="top"/>
            <w:tcMar>
              <w:top w:w="17" w:type="dxa"/>
              <w:left w:w="38" w:type="dxa"/>
              <w:bottom w:w="17" w:type="dxa"/>
              <w:right w:w="38" w:type="dxa"/>
            </w:tcMar>
          </w:tcPr>
          <w:p/>
        </w:tc>
        <w:tc>
          <w:tcPr>
            <w:tcW w:w="759.75" w:type="dxa"/>
            <w:gridSpan w:val="2"/>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277.8304"/>
        </w:trPr>
        <w:tc>
          <w:tcPr>
            <w:tcW w:w="567" w:type="dxa"/>
            <w:tcBorders>
</w:tcBorders>
            <w:shd w:val="clear" w:color="#000000" w:fill="#FFFFFF"/>
            <w:vAlign w:val="bottom"/>
            <w:tcMar>
              <w:top w:w="17" w:type="dxa"/>
              <w:left w:w="38" w:type="dxa"/>
              <w:bottom w:w="17" w:type="dxa"/>
              <w:right w:w="38" w:type="dxa"/>
            </w:tcMar>
          </w:tcPr>
          <w:p/>
        </w:tc>
        <w:tc>
          <w:tcPr>
            <w:tcW w:w="992.25" w:type="dxa"/>
            <w:tcBorders>
</w:tcBorders>
            <w:shd w:val="clear" w:color="#000000" w:fill="#FFFFFF"/>
            <w:vAlign w:val="top"/>
            <w:tcMar>
              <w:top w:w="17" w:type="dxa"/>
              <w:left w:w="38" w:type="dxa"/>
              <w:bottom w:w="17" w:type="dxa"/>
              <w:right w:w="38" w:type="dxa"/>
            </w:tcMar>
          </w:tcPr>
          <w:p/>
        </w:tc>
        <w:tc>
          <w:tcPr>
            <w:tcW w:w="737.1" w:type="dxa"/>
            <w:tcBorders>
</w:tcBorders>
            <w:shd w:val="clear" w:color="#000000" w:fill="#FFFFFF"/>
            <w:vAlign w:val="bottom"/>
            <w:tcMar>
              <w:top w:w="17" w:type="dxa"/>
              <w:left w:w="38" w:type="dxa"/>
              <w:bottom w:w="17" w:type="dxa"/>
              <w:right w:w="38" w:type="dxa"/>
            </w:tcMar>
          </w:tcPr>
          <w:p/>
        </w:tc>
        <w:tc>
          <w:tcPr>
            <w:tcW w:w="1349.4" w:type="dxa"/>
            <w:gridSpan w:val="3"/>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1349.4" w:type="dxa"/>
            <w:gridSpan w:val="4"/>
            <w:tcBorders>
</w:tcBorders>
            <w:shd w:val="clear" w:color="#000000" w:fill="#FFFFFF"/>
            <w:vAlign w:val="top"/>
            <w:tcMar>
              <w:top w:w="17" w:type="dxa"/>
              <w:left w:w="38" w:type="dxa"/>
              <w:bottom w:w="17" w:type="dxa"/>
              <w:right w:w="38" w:type="dxa"/>
            </w:tcMar>
          </w:tcPr>
          <w:p/>
        </w:tc>
        <w:tc>
          <w:tcPr>
            <w:tcW w:w="1349.4" w:type="dxa"/>
            <w:gridSpan w:val="4"/>
            <w:tcBorders>
</w:tcBorders>
            <w:shd w:val="clear" w:color="#000000" w:fill="#FFFFFF"/>
            <w:vAlign w:val="top"/>
            <w:tcMar>
              <w:top w:w="17" w:type="dxa"/>
              <w:left w:w="38" w:type="dxa"/>
              <w:bottom w:w="17" w:type="dxa"/>
              <w:right w:w="38" w:type="dxa"/>
            </w:tcMar>
          </w:tcPr>
          <w:p/>
        </w:tc>
        <w:tc>
          <w:tcPr>
            <w:tcW w:w="759.75" w:type="dxa"/>
            <w:gridSpan w:val="2"/>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277.8295"/>
        </w:trPr>
        <w:tc>
          <w:tcPr>
            <w:tcW w:w="567" w:type="dxa"/>
            <w:tcBorders>
</w:tcBorders>
            <w:shd w:val="clear" w:color="#000000" w:fill="#FFFFFF"/>
            <w:vAlign w:val="bottom"/>
            <w:tcMar>
              <w:top w:w="17" w:type="dxa"/>
              <w:left w:w="38" w:type="dxa"/>
              <w:bottom w:w="17" w:type="dxa"/>
              <w:right w:w="38" w:type="dxa"/>
            </w:tcMar>
          </w:tcPr>
          <w:p/>
        </w:tc>
        <w:tc>
          <w:tcPr>
            <w:tcW w:w="1729.35" w:type="dxa"/>
            <w:gridSpan w:val="2"/>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Керівник</w:t>
            </w:r>
          </w:p>
        </w:tc>
        <w:tc>
          <w:tcPr>
            <w:tcW w:w="1349.4" w:type="dxa"/>
            <w:gridSpan w:val="3"/>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2698.8" w:type="dxa"/>
            <w:gridSpan w:val="8"/>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i/>
                <w:u w:val="single"/>
                <w:color w:val="#000000"/>
                <w:sz w:val="18"/>
                <w:szCs w:val="18"/>
              </w:rPr>
              <w:t> Сергій ПРИХОДЬКО</w:t>
            </w:r>
          </w:p>
        </w:tc>
        <w:tc>
          <w:tcPr>
            <w:tcW w:w="759.75" w:type="dxa"/>
            <w:gridSpan w:val="2"/>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277.8304"/>
        </w:trPr>
        <w:tc>
          <w:tcPr>
            <w:tcW w:w="567" w:type="dxa"/>
            <w:tcBorders>
</w:tcBorders>
            <w:shd w:val="clear" w:color="#000000" w:fill="#FFFFFF"/>
            <w:vAlign w:val="bottom"/>
            <w:tcMar>
              <w:top w:w="17" w:type="dxa"/>
              <w:left w:w="38" w:type="dxa"/>
              <w:bottom w:w="17" w:type="dxa"/>
              <w:right w:w="38" w:type="dxa"/>
            </w:tcMar>
          </w:tcPr>
          <w:p/>
        </w:tc>
        <w:tc>
          <w:tcPr>
            <w:tcW w:w="992.25" w:type="dxa"/>
            <w:tcBorders>
</w:tcBorders>
            <w:shd w:val="clear" w:color="#000000" w:fill="#FFFFFF"/>
            <w:vAlign w:val="bottom"/>
            <w:tcMar>
              <w:top w:w="17" w:type="dxa"/>
              <w:left w:w="38" w:type="dxa"/>
              <w:bottom w:w="17" w:type="dxa"/>
              <w:right w:w="38" w:type="dxa"/>
            </w:tcMar>
          </w:tcPr>
          <w:p/>
        </w:tc>
        <w:tc>
          <w:tcPr>
            <w:tcW w:w="737.1" w:type="dxa"/>
            <w:tcBorders>
</w:tcBorders>
            <w:shd w:val="clear" w:color="#000000" w:fill="#FFFFFF"/>
            <w:vAlign w:val="bottom"/>
            <w:tcMar>
              <w:top w:w="17" w:type="dxa"/>
              <w:left w:w="38" w:type="dxa"/>
              <w:bottom w:w="17" w:type="dxa"/>
              <w:right w:w="38" w:type="dxa"/>
            </w:tcMar>
          </w:tcPr>
          <w:p/>
        </w:tc>
        <w:tc>
          <w:tcPr>
            <w:tcW w:w="1349.4" w:type="dxa"/>
            <w:gridSpan w:val="3"/>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1349.4" w:type="dxa"/>
            <w:gridSpan w:val="4"/>
            <w:tcBorders>
</w:tcBorders>
            <w:shd w:val="clear" w:color="#000000" w:fill="#FFFFFF"/>
            <w:vAlign w:val="top"/>
            <w:tcMar>
              <w:top w:w="17" w:type="dxa"/>
              <w:left w:w="38" w:type="dxa"/>
              <w:bottom w:w="17" w:type="dxa"/>
              <w:right w:w="38" w:type="dxa"/>
            </w:tcMar>
          </w:tcPr>
          <w:p/>
        </w:tc>
        <w:tc>
          <w:tcPr>
            <w:tcW w:w="1349.4" w:type="dxa"/>
            <w:gridSpan w:val="4"/>
            <w:tcBorders>
</w:tcBorders>
            <w:shd w:val="clear" w:color="#000000" w:fill="#FFFFFF"/>
            <w:vAlign w:val="top"/>
            <w:tcMar>
              <w:top w:w="17" w:type="dxa"/>
              <w:left w:w="38" w:type="dxa"/>
              <w:bottom w:w="17" w:type="dxa"/>
              <w:right w:w="38" w:type="dxa"/>
            </w:tcMar>
          </w:tcPr>
          <w:p/>
        </w:tc>
        <w:tc>
          <w:tcPr>
            <w:tcW w:w="759.75" w:type="dxa"/>
            <w:gridSpan w:val="2"/>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277.8295"/>
        </w:trPr>
        <w:tc>
          <w:tcPr>
            <w:tcW w:w="567" w:type="dxa"/>
            <w:tcBorders>
</w:tcBorders>
            <w:shd w:val="clear" w:color="#000000" w:fill="#FFFFFF"/>
            <w:vAlign w:val="bottom"/>
            <w:tcMar>
              <w:top w:w="17" w:type="dxa"/>
              <w:left w:w="38" w:type="dxa"/>
              <w:bottom w:w="17" w:type="dxa"/>
              <w:right w:w="38" w:type="dxa"/>
            </w:tcMar>
          </w:tcPr>
          <w:p/>
        </w:tc>
        <w:tc>
          <w:tcPr>
            <w:tcW w:w="3078.75" w:type="dxa"/>
            <w:gridSpan w:val="5"/>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Головний бухгалтер (керівник ССП)</w:t>
            </w: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2698.8" w:type="dxa"/>
            <w:gridSpan w:val="8"/>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i/>
                <w:u w:val="single"/>
                <w:color w:val="#000000"/>
                <w:sz w:val="18"/>
                <w:szCs w:val="18"/>
              </w:rPr>
              <w:t> Ірина СТАШЕВСЬКА</w:t>
            </w:r>
          </w:p>
        </w:tc>
        <w:tc>
          <w:tcPr>
            <w:tcW w:w="759.75" w:type="dxa"/>
            <w:gridSpan w:val="2"/>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277.8304"/>
        </w:trPr>
        <w:tc>
          <w:tcPr>
            <w:tcW w:w="567" w:type="dxa"/>
            <w:tcBorders>
</w:tcBorders>
            <w:shd w:val="clear" w:color="#000000" w:fill="#FFFFFF"/>
            <w:vAlign w:val="bottom"/>
            <w:tcMar>
              <w:top w:w="17" w:type="dxa"/>
              <w:left w:w="38" w:type="dxa"/>
              <w:bottom w:w="17" w:type="dxa"/>
              <w:right w:w="38" w:type="dxa"/>
            </w:tcMar>
          </w:tcPr>
          <w:p/>
        </w:tc>
        <w:tc>
          <w:tcPr>
            <w:tcW w:w="992.25" w:type="dxa"/>
            <w:tcBorders>
</w:tcBorders>
            <w:shd w:val="clear" w:color="#000000" w:fill="#FFFFFF"/>
            <w:vAlign w:val="bottom"/>
            <w:tcMar>
              <w:top w:w="17" w:type="dxa"/>
              <w:left w:w="38" w:type="dxa"/>
              <w:bottom w:w="17" w:type="dxa"/>
              <w:right w:w="38" w:type="dxa"/>
            </w:tcMar>
          </w:tcPr>
          <w:p/>
        </w:tc>
        <w:tc>
          <w:tcPr>
            <w:tcW w:w="737.1" w:type="dxa"/>
            <w:tcBorders>
</w:tcBorders>
            <w:shd w:val="clear" w:color="#000000" w:fill="#FFFFFF"/>
            <w:vAlign w:val="bottom"/>
            <w:tcMar>
              <w:top w:w="17" w:type="dxa"/>
              <w:left w:w="38" w:type="dxa"/>
              <w:bottom w:w="17" w:type="dxa"/>
              <w:right w:w="38" w:type="dxa"/>
            </w:tcMar>
          </w:tcPr>
          <w:p/>
        </w:tc>
        <w:tc>
          <w:tcPr>
            <w:tcW w:w="1349.4" w:type="dxa"/>
            <w:gridSpan w:val="3"/>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1349.4" w:type="dxa"/>
            <w:gridSpan w:val="4"/>
            <w:tcBorders>
</w:tcBorders>
            <w:shd w:val="clear" w:color="#000000" w:fill="#FFFFFF"/>
            <w:vAlign w:val="top"/>
            <w:tcMar>
              <w:top w:w="17" w:type="dxa"/>
              <w:left w:w="38" w:type="dxa"/>
              <w:bottom w:w="17" w:type="dxa"/>
              <w:right w:w="38" w:type="dxa"/>
            </w:tcMar>
          </w:tcPr>
          <w:p/>
        </w:tc>
        <w:tc>
          <w:tcPr>
            <w:tcW w:w="1349.4" w:type="dxa"/>
            <w:gridSpan w:val="4"/>
            <w:tcBorders>
</w:tcBorders>
            <w:shd w:val="clear" w:color="#000000" w:fill="#FFFFFF"/>
            <w:vAlign w:val="top"/>
            <w:tcMar>
              <w:top w:w="17" w:type="dxa"/>
              <w:left w:w="38" w:type="dxa"/>
              <w:bottom w:w="17" w:type="dxa"/>
              <w:right w:w="38" w:type="dxa"/>
            </w:tcMar>
          </w:tcPr>
          <w:p/>
        </w:tc>
        <w:tc>
          <w:tcPr>
            <w:tcW w:w="759.75" w:type="dxa"/>
            <w:gridSpan w:val="2"/>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277.8295"/>
        </w:trPr>
        <w:tc>
          <w:tcPr>
            <w:tcW w:w="567" w:type="dxa"/>
            <w:tcBorders>
</w:tcBorders>
            <w:shd w:val="clear" w:color="#000000" w:fill="#FFFFFF"/>
            <w:vAlign w:val="bottom"/>
            <w:tcMar>
              <w:top w:w="17" w:type="dxa"/>
              <w:left w:w="38" w:type="dxa"/>
              <w:bottom w:w="17" w:type="dxa"/>
              <w:right w:w="38" w:type="dxa"/>
            </w:tcMar>
          </w:tcPr>
          <w:p/>
        </w:tc>
        <w:tc>
          <w:tcPr>
            <w:tcW w:w="3078.75" w:type="dxa"/>
            <w:gridSpan w:val="5"/>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i/>
                <w:color w:val="#000000"/>
                <w:sz w:val="18"/>
                <w:szCs w:val="18"/>
              </w:rPr>
              <w:t> " 11 " січня 2023р.</w:t>
            </w: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1349.4" w:type="dxa"/>
            <w:gridSpan w:val="4"/>
            <w:tcBorders>
</w:tcBorders>
            <w:shd w:val="clear" w:color="#000000" w:fill="#FFFFFF"/>
            <w:vAlign w:val="top"/>
            <w:tcMar>
              <w:top w:w="17" w:type="dxa"/>
              <w:left w:w="38" w:type="dxa"/>
              <w:bottom w:w="17" w:type="dxa"/>
              <w:right w:w="38" w:type="dxa"/>
            </w:tcMar>
          </w:tcPr>
          <w:p/>
        </w:tc>
        <w:tc>
          <w:tcPr>
            <w:tcW w:w="1349.4" w:type="dxa"/>
            <w:gridSpan w:val="4"/>
            <w:tcBorders>
</w:tcBorders>
            <w:shd w:val="clear" w:color="#000000" w:fill="#FFFFFF"/>
            <w:vAlign w:val="top"/>
            <w:tcMar>
              <w:top w:w="17" w:type="dxa"/>
              <w:left w:w="38" w:type="dxa"/>
              <w:bottom w:w="17" w:type="dxa"/>
              <w:right w:w="38" w:type="dxa"/>
            </w:tcMar>
          </w:tcPr>
          <w:p/>
        </w:tc>
        <w:tc>
          <w:tcPr>
            <w:tcW w:w="759.75" w:type="dxa"/>
            <w:gridSpan w:val="2"/>
            <w:tcBorders>
</w:tcBorders>
            <w:shd w:val="clear" w:color="#000000" w:fill="#FFFFFF"/>
            <w:vAlign w:val="top"/>
            <w:tcMar>
              <w:top w:w="17" w:type="dxa"/>
              <w:left w:w="38" w:type="dxa"/>
              <w:bottom w:w="17" w:type="dxa"/>
              <w:right w:w="38" w:type="dxa"/>
            </w:tcMar>
          </w:tcPr>
          <w:p/>
        </w:tc>
        <w:tc>
          <w:tcPr>
            <w:tcW w:w="396.9" w:type="dxa"/>
            <w:tcBorders>
</w:tcBorders>
            <w:shd w:val="clear" w:color="#000000" w:fill="#FFFFFF"/>
            <w:vAlign w:val="top"/>
            <w:tcMar>
              <w:top w:w="17" w:type="dxa"/>
              <w:left w:w="38" w:type="dxa"/>
              <w:bottom w:w="17" w:type="dxa"/>
              <w:right w:w="38" w:type="dxa"/>
            </w:tcMar>
          </w:tcPr>
          <w:p/>
        </w:tc>
      </w:tr>
      <w:tr>
        <w:trPr>
          <w:trHeight w:hRule="exact" w:val="1166.887"/>
        </w:trPr>
        <w:tc>
          <w:tcPr>
            <w:tcW w:w="567" w:type="dxa"/>
          </w:tcPr>
          <w:p/>
        </w:tc>
        <w:tc>
          <w:tcPr>
            <w:tcW w:w="992" w:type="dxa"/>
          </w:tcPr>
          <w:p/>
        </w:tc>
        <w:tc>
          <w:tcPr>
            <w:tcW w:w="737" w:type="dxa"/>
          </w:tcPr>
          <w:p/>
        </w:tc>
        <w:tc>
          <w:tcPr>
            <w:tcW w:w="255" w:type="dxa"/>
          </w:tcPr>
          <w:p/>
        </w:tc>
        <w:tc>
          <w:tcPr>
            <w:tcW w:w="891" w:type="dxa"/>
          </w:tcPr>
          <w:p/>
        </w:tc>
        <w:tc>
          <w:tcPr>
            <w:tcW w:w="203" w:type="dxa"/>
          </w:tcPr>
          <w:p/>
        </w:tc>
        <w:tc>
          <w:tcPr>
            <w:tcW w:w="830" w:type="dxa"/>
          </w:tcPr>
          <w:p/>
        </w:tc>
        <w:tc>
          <w:tcPr>
            <w:tcW w:w="520" w:type="dxa"/>
          </w:tcPr>
          <w:p/>
        </w:tc>
        <w:tc>
          <w:tcPr>
            <w:tcW w:w="675" w:type="dxa"/>
          </w:tcPr>
          <w:p/>
        </w:tc>
        <w:tc>
          <w:tcPr>
            <w:tcW w:w="675" w:type="dxa"/>
          </w:tcPr>
          <w:p/>
        </w:tc>
        <w:tc>
          <w:tcPr>
            <w:tcW w:w="298" w:type="dxa"/>
          </w:tcPr>
          <w:p/>
        </w:tc>
        <w:tc>
          <w:tcPr>
            <w:tcW w:w="161" w:type="dxa"/>
          </w:tcPr>
          <w:p/>
        </w:tc>
        <w:tc>
          <w:tcPr>
            <w:tcW w:w="644" w:type="dxa"/>
          </w:tcPr>
          <w:p/>
        </w:tc>
        <w:tc>
          <w:tcPr>
            <w:tcW w:w="246" w:type="dxa"/>
          </w:tcPr>
          <w:p/>
        </w:tc>
        <w:tc>
          <w:tcPr>
            <w:tcW w:w="459" w:type="dxa"/>
          </w:tcPr>
          <w:p/>
        </w:tc>
        <w:tc>
          <w:tcPr>
            <w:tcW w:w="352" w:type="dxa"/>
          </w:tcPr>
          <w:p/>
        </w:tc>
        <w:tc>
          <w:tcPr>
            <w:tcW w:w="329" w:type="dxa"/>
          </w:tcPr>
          <w:p/>
        </w:tc>
        <w:tc>
          <w:tcPr>
            <w:tcW w:w="210" w:type="dxa"/>
          </w:tcPr>
          <w:p/>
        </w:tc>
        <w:tc>
          <w:tcPr>
            <w:tcW w:w="471" w:type="dxa"/>
          </w:tcPr>
          <w:p/>
        </w:tc>
        <w:tc>
          <w:tcPr>
            <w:tcW w:w="289" w:type="dxa"/>
          </w:tcPr>
          <w:p/>
        </w:tc>
        <w:tc>
          <w:tcPr>
            <w:tcW w:w="391" w:type="dxa"/>
          </w:tcPr>
          <w:p/>
        </w:tc>
      </w:tr>
      <w:tr>
        <w:trPr>
          <w:trHeight w:hRule="exact" w:val="1705.347"/>
        </w:trPr>
        <w:tc>
          <w:tcPr>
            <w:tcW w:w="567" w:type="dxa"/>
          </w:tcPr>
          <w:p/>
        </w:tc>
        <w:tc>
          <w:tcPr>
            <w:tcW w:w="992" w:type="dxa"/>
          </w:tcPr>
          <w:p/>
        </w:tc>
        <w:tc>
          <w:tcPr>
            <w:tcW w:w="737" w:type="dxa"/>
          </w:tcPr>
          <w:p/>
        </w:tc>
        <w:tc>
          <w:tcPr>
            <w:tcW w:w="255" w:type="dxa"/>
          </w:tcPr>
          <w:p/>
        </w:tc>
        <w:tc>
          <w:tcPr>
            <w:tcW w:w="891" w:type="dxa"/>
          </w:tcPr>
          <w:p/>
        </w:tc>
        <w:tc>
          <w:tcPr>
            <w:tcW w:w="203" w:type="dxa"/>
          </w:tcPr>
          <w:p/>
        </w:tc>
        <w:tc>
          <w:tcPr>
            <w:tcW w:w="830" w:type="dxa"/>
          </w:tcPr>
          <w:p/>
        </w:tc>
        <w:tc>
          <w:tcPr>
            <w:tcW w:w="520" w:type="dxa"/>
          </w:tcPr>
          <w:p/>
        </w:tc>
        <w:tc>
          <w:tcPr>
            <w:tcW w:w="675" w:type="dxa"/>
          </w:tcPr>
          <w:p/>
        </w:tc>
        <w:tc>
          <w:tcPr>
            <w:tcW w:w="675" w:type="dxa"/>
          </w:tcPr>
          <w:p/>
        </w:tc>
        <w:tc>
          <w:tcPr>
            <w:tcW w:w="298" w:type="dxa"/>
          </w:tcPr>
          <w:p/>
        </w:tc>
        <w:tc>
          <w:tcPr>
            <w:tcW w:w="161" w:type="dxa"/>
          </w:tcPr>
          <w:p/>
        </w:tc>
        <w:tc>
          <w:tcPr>
            <w:tcW w:w="644" w:type="dxa"/>
          </w:tcPr>
          <w:p/>
        </w:tc>
        <w:tc>
          <w:tcPr>
            <w:tcW w:w="246" w:type="dxa"/>
          </w:tcPr>
          <w:p/>
        </w:tc>
        <w:tc>
          <w:tcPr>
            <w:tcW w:w="459" w:type="dxa"/>
          </w:tcPr>
          <w:p/>
        </w:tc>
        <w:tc>
          <w:tcPr>
            <w:tcW w:w="352" w:type="dxa"/>
          </w:tcPr>
          <w:p/>
        </w:tc>
        <w:tc>
          <w:tcPr>
            <w:tcW w:w="329" w:type="dxa"/>
          </w:tcPr>
          <w:p/>
        </w:tc>
        <w:tc>
          <w:tcPr>
            <w:tcW w:w="210" w:type="dxa"/>
          </w:tcPr>
          <w:p/>
        </w:tc>
        <w:tc>
          <w:tcPr>
            <w:tcW w:w="471" w:type="dxa"/>
          </w:tcPr>
          <w:p/>
        </w:tc>
        <w:tc>
          <w:tcPr>
            <w:tcW w:w="289" w:type="dxa"/>
          </w:tcPr>
          <w:p/>
        </w:tc>
        <w:tc>
          <w:tcPr>
            <w:tcW w:w="391" w:type="dxa"/>
          </w:tcPr>
          <w:p/>
        </w:tc>
      </w:tr>
      <w:tr>
        <w:trPr>
          <w:trHeight w:hRule="exact" w:val="277.8304"/>
        </w:trPr>
        <w:tc>
          <w:tcPr>
            <w:tcW w:w="3442.5" w:type="dxa"/>
            <w:gridSpan w:val="5"/>
            <w:tcBorders>
              <w:top w:val="double" w:sz="8" w:space="0" w:color="#D3D3D3"/>
            </w:tcBorders>
            <w:shd w:val="clear" w:color="#D3D3D3" w:fill="#FFFFFF"/>
            <w:vAlign w:val="center"/>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i/>
                <w:color w:val="#D3D3D3"/>
                <w:sz w:val="12"/>
                <w:szCs w:val="12"/>
              </w:rPr>
              <w:t> 202300000037125784</w:t>
            </w:r>
          </w:p>
        </w:tc>
        <w:tc>
          <w:tcPr>
            <w:tcW w:w="1032.75" w:type="dxa"/>
            <w:gridSpan w:val="2"/>
            <w:tcBorders>
              <w:top w:val="double" w:sz="8" w:space="0" w:color="#D3D3D3"/>
            </w:tcBorders>
            <w:shd w:val="clear" w:color="#D3D3D3" w:fill="#FFFFFF"/>
            <w:vAlign w:val="center"/>
            <w:tcMar>
              <w:top w:w="17" w:type="dxa"/>
              <w:left w:w="38" w:type="dxa"/>
              <w:bottom w:w="17" w:type="dxa"/>
              <w:right w:w="38" w:type="dxa"/>
            </w:tcMar>
          </w:tcPr>
          <w:p/>
        </w:tc>
        <w:tc>
          <w:tcPr>
            <w:tcW w:w="2167.5" w:type="dxa"/>
            <w:gridSpan w:val="4"/>
            <w:tcBorders>
              <w:top w:val="double" w:sz="8" w:space="0" w:color="#D3D3D3"/>
            </w:tcBorders>
            <w:shd w:val="clear" w:color="#D3D3D3" w:fill="#FFFFFF"/>
            <w:vAlign w:val="center"/>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i/>
                <w:color w:val="#D3D3D3"/>
                <w:sz w:val="12"/>
                <w:szCs w:val="12"/>
              </w:rPr>
              <w:t> АС  " Є-ЗВІТНІСТЬ "</w:t>
            </w:r>
          </w:p>
        </w:tc>
        <w:tc>
          <w:tcPr>
            <w:tcW w:w="805.2" w:type="dxa"/>
            <w:gridSpan w:val="2"/>
            <w:tcBorders>
              <w:top w:val="double" w:sz="8" w:space="0" w:color="#D3D3D3"/>
            </w:tcBorders>
            <w:shd w:val="clear" w:color="#D3D3D3" w:fill="#FFFFFF"/>
            <w:vAlign w:val="center"/>
            <w:tcMar>
              <w:top w:w="17" w:type="dxa"/>
              <w:left w:w="38" w:type="dxa"/>
              <w:bottom w:w="17" w:type="dxa"/>
              <w:right w:w="38" w:type="dxa"/>
            </w:tcMar>
          </w:tcPr>
          <w:p/>
        </w:tc>
        <w:tc>
          <w:tcPr>
            <w:tcW w:w="2758.05" w:type="dxa"/>
            <w:gridSpan w:val="8"/>
            <w:tcBorders>
              <w:top w:val="double" w:sz="8" w:space="0" w:color="#D3D3D3"/>
            </w:tcBorders>
            <w:shd w:val="clear" w:color="#D3D3D3" w:fill="#FFFFFF"/>
            <w:vAlign w:val="center"/>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i/>
                <w:color w:val="#D3D3D3"/>
                <w:sz w:val="12"/>
                <w:szCs w:val="12"/>
              </w:rPr>
              <w:t> ст. 1 з 1</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2009-06-17T07:33:19Z</dcterms:created>
  <dc:title>Form_f_d10</dc:title>
  <dc:creator>FastReport.NET</dc:creator>
</cp:coreProperties>
</file>